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21E" w:rsidRPr="002C263B" w:rsidRDefault="0002321E" w:rsidP="002C263B">
      <w:pPr>
        <w:jc w:val="center"/>
        <w:rPr>
          <w:rFonts w:ascii="Georgia" w:hAnsi="Georgia"/>
          <w:b/>
          <w:color w:val="7F7F7F" w:themeColor="text1" w:themeTint="80"/>
          <w:sz w:val="32"/>
          <w:szCs w:val="32"/>
        </w:rPr>
      </w:pPr>
      <w:r w:rsidRPr="002C263B">
        <w:rPr>
          <w:rFonts w:ascii="Georgia" w:hAnsi="Georgia"/>
          <w:b/>
          <w:color w:val="7F7F7F" w:themeColor="text1" w:themeTint="80"/>
          <w:sz w:val="32"/>
          <w:szCs w:val="32"/>
        </w:rPr>
        <w:t>McNabb Center -</w:t>
      </w:r>
      <w:r w:rsidR="00554A77" w:rsidRPr="002C263B">
        <w:rPr>
          <w:rFonts w:ascii="Georgia" w:hAnsi="Georgia"/>
          <w:b/>
          <w:color w:val="7F7F7F" w:themeColor="text1" w:themeTint="80"/>
          <w:sz w:val="32"/>
          <w:szCs w:val="32"/>
        </w:rPr>
        <w:t xml:space="preserve"> Family Walk-In Center</w:t>
      </w:r>
    </w:p>
    <w:p w:rsidR="002C263B" w:rsidRDefault="002C263B" w:rsidP="0002321E">
      <w:pPr>
        <w:ind w:firstLine="720"/>
        <w:rPr>
          <w:rFonts w:ascii="Georgia" w:hAnsi="Georgia"/>
          <w:sz w:val="20"/>
          <w:szCs w:val="20"/>
        </w:rPr>
      </w:pPr>
    </w:p>
    <w:p w:rsidR="000F5613" w:rsidRPr="00660C2C" w:rsidRDefault="000F5613" w:rsidP="0002321E">
      <w:pPr>
        <w:ind w:firstLine="720"/>
        <w:rPr>
          <w:rFonts w:ascii="Georgia" w:hAnsi="Georgia"/>
          <w:sz w:val="20"/>
          <w:szCs w:val="20"/>
        </w:rPr>
      </w:pPr>
      <w:r w:rsidRPr="00660C2C">
        <w:rPr>
          <w:rFonts w:ascii="Georgia" w:hAnsi="Georgia"/>
          <w:sz w:val="20"/>
          <w:szCs w:val="20"/>
        </w:rPr>
        <w:t>This newly developed children’s crisis continuum will see</w:t>
      </w:r>
      <w:r w:rsidR="007B46C1" w:rsidRPr="00660C2C">
        <w:rPr>
          <w:rFonts w:ascii="Georgia" w:hAnsi="Georgia"/>
          <w:sz w:val="20"/>
          <w:szCs w:val="20"/>
        </w:rPr>
        <w:t>k</w:t>
      </w:r>
      <w:r w:rsidRPr="00660C2C">
        <w:rPr>
          <w:rFonts w:ascii="Georgia" w:hAnsi="Georgia"/>
          <w:sz w:val="20"/>
          <w:szCs w:val="20"/>
        </w:rPr>
        <w:t xml:space="preserve"> to meet the need of acute </w:t>
      </w:r>
      <w:r w:rsidR="00170BFD">
        <w:rPr>
          <w:rFonts w:ascii="Georgia" w:hAnsi="Georgia"/>
          <w:sz w:val="20"/>
          <w:szCs w:val="20"/>
        </w:rPr>
        <w:t xml:space="preserve">outpatient </w:t>
      </w:r>
      <w:r w:rsidRPr="00660C2C">
        <w:rPr>
          <w:rFonts w:ascii="Georgia" w:hAnsi="Georgia"/>
          <w:sz w:val="20"/>
          <w:szCs w:val="20"/>
        </w:rPr>
        <w:t xml:space="preserve">assessment, response, referral, and treatment services for children’s needing additional support in their natural environments. The program will operate a </w:t>
      </w:r>
      <w:r w:rsidRPr="003F2853">
        <w:rPr>
          <w:rFonts w:ascii="Georgia" w:hAnsi="Georgia"/>
          <w:b/>
          <w:sz w:val="20"/>
          <w:szCs w:val="20"/>
          <w:u w:val="single"/>
        </w:rPr>
        <w:t>Family Walk-In Center</w:t>
      </w:r>
      <w:r w:rsidRPr="00660C2C">
        <w:rPr>
          <w:rFonts w:ascii="Georgia" w:hAnsi="Georgia"/>
          <w:sz w:val="20"/>
          <w:szCs w:val="20"/>
        </w:rPr>
        <w:t xml:space="preserve"> from </w:t>
      </w:r>
      <w:r w:rsidRPr="00660C2C">
        <w:rPr>
          <w:rFonts w:ascii="Georgia" w:hAnsi="Georgia"/>
          <w:b/>
          <w:sz w:val="20"/>
          <w:szCs w:val="20"/>
          <w:u w:val="single"/>
        </w:rPr>
        <w:t>8am-8pm 7-days a week</w:t>
      </w:r>
      <w:r w:rsidRPr="00660C2C">
        <w:rPr>
          <w:rFonts w:ascii="Georgia" w:hAnsi="Georgia"/>
          <w:sz w:val="20"/>
          <w:szCs w:val="20"/>
        </w:rPr>
        <w:t xml:space="preserve">. The program will also have </w:t>
      </w:r>
      <w:r w:rsidRPr="00660C2C">
        <w:rPr>
          <w:rFonts w:ascii="Georgia" w:hAnsi="Georgia"/>
          <w:b/>
          <w:sz w:val="20"/>
          <w:szCs w:val="20"/>
          <w:u w:val="single"/>
        </w:rPr>
        <w:t>24/7 wrap around on-call support</w:t>
      </w:r>
      <w:r w:rsidRPr="00660C2C">
        <w:rPr>
          <w:rFonts w:ascii="Georgia" w:hAnsi="Georgia"/>
          <w:sz w:val="20"/>
          <w:szCs w:val="20"/>
        </w:rPr>
        <w:t xml:space="preserve"> to respond to clinical crisis needs and connect to treatment services throughout the day.</w:t>
      </w:r>
    </w:p>
    <w:p w:rsidR="00C3668A" w:rsidRPr="00660C2C" w:rsidRDefault="00350361" w:rsidP="00554A77">
      <w:pPr>
        <w:rPr>
          <w:rFonts w:ascii="Georgia" w:hAnsi="Georgia"/>
          <w:sz w:val="20"/>
          <w:szCs w:val="20"/>
        </w:rPr>
      </w:pPr>
      <w:r w:rsidRPr="00660C2C">
        <w:rPr>
          <w:rFonts w:ascii="Georgia" w:hAnsi="Georgia"/>
          <w:sz w:val="20"/>
          <w:szCs w:val="20"/>
        </w:rPr>
        <w:tab/>
        <w:t xml:space="preserve">The Children’s Crisis Continuum staff can perform psychosocial (intake) assessments to </w:t>
      </w:r>
      <w:r w:rsidR="005C71FD">
        <w:rPr>
          <w:rFonts w:ascii="Georgia" w:hAnsi="Georgia"/>
          <w:sz w:val="20"/>
          <w:szCs w:val="20"/>
        </w:rPr>
        <w:t>refer</w:t>
      </w:r>
      <w:r w:rsidRPr="00660C2C">
        <w:rPr>
          <w:rFonts w:ascii="Georgia" w:hAnsi="Georgia"/>
          <w:sz w:val="20"/>
          <w:szCs w:val="20"/>
        </w:rPr>
        <w:t xml:space="preserve"> children </w:t>
      </w:r>
      <w:r w:rsidR="005C71FD">
        <w:rPr>
          <w:rFonts w:ascii="Georgia" w:hAnsi="Georgia"/>
          <w:sz w:val="20"/>
          <w:szCs w:val="20"/>
        </w:rPr>
        <w:t>to</w:t>
      </w:r>
      <w:r w:rsidRPr="00660C2C">
        <w:rPr>
          <w:rFonts w:ascii="Georgia" w:hAnsi="Georgia"/>
          <w:sz w:val="20"/>
          <w:szCs w:val="20"/>
        </w:rPr>
        <w:t xml:space="preserve"> services at McNabb</w:t>
      </w:r>
      <w:r w:rsidR="00BD4C2C" w:rsidRPr="00660C2C">
        <w:rPr>
          <w:rFonts w:ascii="Georgia" w:hAnsi="Georgia"/>
          <w:sz w:val="20"/>
          <w:szCs w:val="20"/>
        </w:rPr>
        <w:t xml:space="preserve"> Center (or refer out</w:t>
      </w:r>
      <w:r w:rsidR="005C71FD">
        <w:rPr>
          <w:rFonts w:ascii="Georgia" w:hAnsi="Georgia"/>
          <w:sz w:val="20"/>
          <w:szCs w:val="20"/>
        </w:rPr>
        <w:t>,</w:t>
      </w:r>
      <w:r w:rsidR="00BD4C2C" w:rsidRPr="00660C2C">
        <w:rPr>
          <w:rFonts w:ascii="Georgia" w:hAnsi="Georgia"/>
          <w:sz w:val="20"/>
          <w:szCs w:val="20"/>
        </w:rPr>
        <w:t xml:space="preserve"> as needed)</w:t>
      </w:r>
      <w:r w:rsidRPr="00660C2C">
        <w:rPr>
          <w:rFonts w:ascii="Georgia" w:hAnsi="Georgia"/>
          <w:sz w:val="20"/>
          <w:szCs w:val="20"/>
        </w:rPr>
        <w:t xml:space="preserve">, and provide </w:t>
      </w:r>
      <w:r w:rsidR="00BD4C2C" w:rsidRPr="00660C2C">
        <w:rPr>
          <w:rFonts w:ascii="Georgia" w:hAnsi="Georgia"/>
          <w:sz w:val="20"/>
          <w:szCs w:val="20"/>
        </w:rPr>
        <w:t>acute</w:t>
      </w:r>
      <w:r w:rsidRPr="00660C2C">
        <w:rPr>
          <w:rFonts w:ascii="Georgia" w:hAnsi="Georgia"/>
          <w:sz w:val="20"/>
          <w:szCs w:val="20"/>
        </w:rPr>
        <w:t xml:space="preserve"> outpatient therapy or community based CCFT </w:t>
      </w:r>
      <w:r w:rsidRPr="00EF06DA">
        <w:rPr>
          <w:rFonts w:ascii="Georgia" w:hAnsi="Georgia"/>
          <w:b/>
          <w:sz w:val="20"/>
          <w:szCs w:val="20"/>
          <w:u w:val="single"/>
        </w:rPr>
        <w:t>services for up to 6-8 weeks</w:t>
      </w:r>
      <w:r w:rsidRPr="00660C2C">
        <w:rPr>
          <w:rFonts w:ascii="Georgia" w:hAnsi="Georgia"/>
          <w:sz w:val="20"/>
          <w:szCs w:val="20"/>
        </w:rPr>
        <w:t xml:space="preserve">. After the treatment period, children and families will be referred out to the most appropriate level of ongoing care. </w:t>
      </w:r>
    </w:p>
    <w:p w:rsidR="000F5613" w:rsidRPr="00660C2C" w:rsidRDefault="000F5613" w:rsidP="00554A77">
      <w:pPr>
        <w:rPr>
          <w:rFonts w:ascii="Georgia" w:hAnsi="Georgia"/>
          <w:b/>
          <w:sz w:val="20"/>
          <w:szCs w:val="20"/>
        </w:rPr>
      </w:pPr>
      <w:r w:rsidRPr="00660C2C">
        <w:rPr>
          <w:rFonts w:ascii="Georgia" w:hAnsi="Georgia"/>
          <w:b/>
          <w:sz w:val="20"/>
          <w:szCs w:val="20"/>
        </w:rPr>
        <w:t>Staffing Structure:</w:t>
      </w:r>
    </w:p>
    <w:p w:rsidR="000F5613" w:rsidRPr="00660C2C" w:rsidRDefault="000F5613" w:rsidP="00C3668A">
      <w:pPr>
        <w:spacing w:after="0" w:line="240" w:lineRule="auto"/>
        <w:rPr>
          <w:rFonts w:ascii="Georgia" w:hAnsi="Georgia"/>
          <w:sz w:val="20"/>
          <w:szCs w:val="20"/>
        </w:rPr>
      </w:pPr>
      <w:r w:rsidRPr="00660C2C">
        <w:rPr>
          <w:rFonts w:ascii="Georgia" w:hAnsi="Georgia"/>
          <w:sz w:val="20"/>
          <w:szCs w:val="20"/>
        </w:rPr>
        <w:t>1 Licensed Master’s Level Program Coordinator</w:t>
      </w:r>
    </w:p>
    <w:p w:rsidR="000F5613" w:rsidRDefault="000F5613" w:rsidP="00C3668A">
      <w:pPr>
        <w:spacing w:after="0" w:line="240" w:lineRule="auto"/>
        <w:rPr>
          <w:rFonts w:ascii="Georgia" w:hAnsi="Georgia"/>
          <w:sz w:val="20"/>
          <w:szCs w:val="20"/>
        </w:rPr>
      </w:pPr>
      <w:r w:rsidRPr="00660C2C">
        <w:rPr>
          <w:rFonts w:ascii="Georgia" w:hAnsi="Georgia"/>
          <w:sz w:val="20"/>
          <w:szCs w:val="20"/>
        </w:rPr>
        <w:t>1 Master’s Clinical Counselor</w:t>
      </w:r>
    </w:p>
    <w:p w:rsidR="003F2853" w:rsidRPr="00660C2C" w:rsidRDefault="003F2853" w:rsidP="00C3668A">
      <w:pPr>
        <w:spacing w:after="0" w:line="240" w:lineRule="auto"/>
        <w:rPr>
          <w:rFonts w:ascii="Georgia" w:hAnsi="Georgia"/>
          <w:sz w:val="20"/>
          <w:szCs w:val="20"/>
        </w:rPr>
      </w:pPr>
      <w:r>
        <w:rPr>
          <w:rFonts w:ascii="Georgia" w:hAnsi="Georgia"/>
          <w:sz w:val="20"/>
          <w:szCs w:val="20"/>
        </w:rPr>
        <w:t>1 CCFT Team Leader</w:t>
      </w:r>
    </w:p>
    <w:p w:rsidR="000F5613" w:rsidRDefault="00EE6D6F" w:rsidP="00C3668A">
      <w:pPr>
        <w:spacing w:after="0" w:line="240" w:lineRule="auto"/>
        <w:rPr>
          <w:rFonts w:ascii="Georgia" w:hAnsi="Georgia"/>
          <w:sz w:val="20"/>
          <w:szCs w:val="20"/>
        </w:rPr>
      </w:pPr>
      <w:r>
        <w:rPr>
          <w:rFonts w:ascii="Georgia" w:hAnsi="Georgia"/>
          <w:sz w:val="20"/>
          <w:szCs w:val="20"/>
        </w:rPr>
        <w:t>6</w:t>
      </w:r>
      <w:r w:rsidR="000F5613" w:rsidRPr="00660C2C">
        <w:rPr>
          <w:rFonts w:ascii="Georgia" w:hAnsi="Georgia"/>
          <w:sz w:val="20"/>
          <w:szCs w:val="20"/>
        </w:rPr>
        <w:t xml:space="preserve"> CCFT Case Managers</w:t>
      </w:r>
    </w:p>
    <w:p w:rsidR="000F5613" w:rsidRDefault="003F2853" w:rsidP="00C3668A">
      <w:pPr>
        <w:spacing w:after="0" w:line="240" w:lineRule="auto"/>
        <w:rPr>
          <w:rFonts w:ascii="Georgia" w:hAnsi="Georgia"/>
          <w:sz w:val="20"/>
          <w:szCs w:val="20"/>
        </w:rPr>
      </w:pPr>
      <w:r>
        <w:rPr>
          <w:rFonts w:ascii="Georgia" w:hAnsi="Georgia"/>
          <w:sz w:val="20"/>
          <w:szCs w:val="20"/>
        </w:rPr>
        <w:t>Prescriber coverage daily for medication services (limited hours daily</w:t>
      </w:r>
      <w:r w:rsidR="00A27673">
        <w:rPr>
          <w:rFonts w:ascii="Georgia" w:hAnsi="Georgia"/>
          <w:sz w:val="20"/>
          <w:szCs w:val="20"/>
        </w:rPr>
        <w:t xml:space="preserve"> TBD</w:t>
      </w:r>
      <w:r>
        <w:rPr>
          <w:rFonts w:ascii="Georgia" w:hAnsi="Georgia"/>
          <w:sz w:val="20"/>
          <w:szCs w:val="20"/>
        </w:rPr>
        <w:t>)</w:t>
      </w:r>
    </w:p>
    <w:p w:rsidR="00C3668A" w:rsidRPr="00660C2C" w:rsidRDefault="00C3668A" w:rsidP="00C3668A">
      <w:pPr>
        <w:spacing w:after="0" w:line="240" w:lineRule="auto"/>
        <w:rPr>
          <w:rFonts w:ascii="Georgia" w:hAnsi="Georgia"/>
          <w:sz w:val="20"/>
          <w:szCs w:val="20"/>
        </w:rPr>
      </w:pPr>
    </w:p>
    <w:p w:rsidR="000F5613" w:rsidRDefault="000F5613" w:rsidP="00554A77">
      <w:pPr>
        <w:rPr>
          <w:rFonts w:ascii="Georgia" w:hAnsi="Georgia"/>
          <w:b/>
          <w:sz w:val="20"/>
          <w:szCs w:val="20"/>
        </w:rPr>
      </w:pPr>
      <w:r w:rsidRPr="00660C2C">
        <w:rPr>
          <w:rFonts w:ascii="Georgia" w:hAnsi="Georgia"/>
          <w:b/>
          <w:sz w:val="20"/>
          <w:szCs w:val="20"/>
        </w:rPr>
        <w:t>Criteria for Services:</w:t>
      </w:r>
    </w:p>
    <w:p w:rsidR="005C71FD" w:rsidRDefault="005C71FD" w:rsidP="005C71FD">
      <w:pPr>
        <w:pStyle w:val="ListParagraph"/>
        <w:numPr>
          <w:ilvl w:val="0"/>
          <w:numId w:val="1"/>
        </w:numPr>
        <w:rPr>
          <w:rFonts w:ascii="Georgia" w:hAnsi="Georgia"/>
          <w:sz w:val="20"/>
          <w:szCs w:val="20"/>
        </w:rPr>
      </w:pPr>
      <w:r w:rsidRPr="005C71FD">
        <w:rPr>
          <w:rFonts w:ascii="Georgia" w:hAnsi="Georgia"/>
          <w:sz w:val="20"/>
          <w:szCs w:val="20"/>
        </w:rPr>
        <w:t>Child is under the age of 18</w:t>
      </w:r>
    </w:p>
    <w:p w:rsidR="005C71FD" w:rsidRDefault="005C71FD" w:rsidP="005C71FD">
      <w:pPr>
        <w:pStyle w:val="ListParagraph"/>
        <w:numPr>
          <w:ilvl w:val="0"/>
          <w:numId w:val="1"/>
        </w:numPr>
        <w:rPr>
          <w:rFonts w:ascii="Georgia" w:hAnsi="Georgia"/>
          <w:sz w:val="20"/>
          <w:szCs w:val="20"/>
        </w:rPr>
      </w:pPr>
      <w:r>
        <w:rPr>
          <w:rFonts w:ascii="Georgia" w:hAnsi="Georgia"/>
          <w:sz w:val="20"/>
          <w:szCs w:val="20"/>
        </w:rPr>
        <w:t>No insurance required to receive services</w:t>
      </w:r>
    </w:p>
    <w:p w:rsidR="005C71FD" w:rsidRPr="005C71FD" w:rsidRDefault="005C71FD" w:rsidP="005C71FD">
      <w:pPr>
        <w:pStyle w:val="ListParagraph"/>
        <w:numPr>
          <w:ilvl w:val="0"/>
          <w:numId w:val="1"/>
        </w:numPr>
        <w:rPr>
          <w:rFonts w:ascii="Georgia" w:hAnsi="Georgia"/>
          <w:sz w:val="20"/>
          <w:szCs w:val="20"/>
        </w:rPr>
      </w:pPr>
      <w:r>
        <w:rPr>
          <w:rFonts w:ascii="Georgia" w:hAnsi="Georgia"/>
          <w:sz w:val="20"/>
          <w:szCs w:val="20"/>
        </w:rPr>
        <w:t xml:space="preserve">Must present with mental health needs that put the child or youth at imminent risk of not being able to maintain in their home environment or at risk for a higher level of care, such as inpatient or residential treatment. </w:t>
      </w:r>
    </w:p>
    <w:p w:rsidR="005C71FD" w:rsidRPr="005C71FD" w:rsidRDefault="005C71FD" w:rsidP="005C71FD">
      <w:pPr>
        <w:rPr>
          <w:rFonts w:ascii="Georgia" w:hAnsi="Georgia"/>
          <w:b/>
          <w:sz w:val="20"/>
          <w:szCs w:val="20"/>
        </w:rPr>
      </w:pPr>
      <w:r w:rsidRPr="005C71FD">
        <w:rPr>
          <w:rFonts w:ascii="Georgia" w:hAnsi="Georgia"/>
          <w:b/>
          <w:sz w:val="20"/>
          <w:szCs w:val="20"/>
        </w:rPr>
        <w:t>Services Offered:</w:t>
      </w:r>
    </w:p>
    <w:p w:rsidR="00327CD4" w:rsidRPr="00660C2C" w:rsidRDefault="00327CD4" w:rsidP="00327CD4">
      <w:pPr>
        <w:pStyle w:val="ListParagraph"/>
        <w:numPr>
          <w:ilvl w:val="0"/>
          <w:numId w:val="1"/>
        </w:numPr>
        <w:rPr>
          <w:rFonts w:ascii="Georgia" w:hAnsi="Georgia"/>
          <w:sz w:val="20"/>
          <w:szCs w:val="20"/>
        </w:rPr>
      </w:pPr>
      <w:r w:rsidRPr="00EF06DA">
        <w:rPr>
          <w:rFonts w:ascii="Georgia" w:hAnsi="Georgia"/>
          <w:sz w:val="20"/>
          <w:szCs w:val="20"/>
          <w:u w:val="single"/>
        </w:rPr>
        <w:t>Outpatient Therapy</w:t>
      </w:r>
      <w:r w:rsidRPr="00660C2C">
        <w:rPr>
          <w:rFonts w:ascii="Georgia" w:hAnsi="Georgia"/>
          <w:sz w:val="20"/>
          <w:szCs w:val="20"/>
        </w:rPr>
        <w:t xml:space="preserve"> will prioritize referrals from MCU and other </w:t>
      </w:r>
      <w:r w:rsidR="00BD4C2C" w:rsidRPr="00660C2C">
        <w:rPr>
          <w:rFonts w:ascii="Georgia" w:hAnsi="Georgia"/>
          <w:sz w:val="20"/>
          <w:szCs w:val="20"/>
        </w:rPr>
        <w:t xml:space="preserve">partners/staff that have children or youth in need of immediate therapy to address mental health needs that seeks to strengthen their current home, school, and community </w:t>
      </w:r>
      <w:r w:rsidR="005C71FD">
        <w:rPr>
          <w:rFonts w:ascii="Georgia" w:hAnsi="Georgia"/>
          <w:sz w:val="20"/>
          <w:szCs w:val="20"/>
        </w:rPr>
        <w:t xml:space="preserve">environments and preventing a higher level of care. </w:t>
      </w:r>
    </w:p>
    <w:p w:rsidR="00327CD4" w:rsidRPr="00660C2C" w:rsidRDefault="00327CD4" w:rsidP="00327CD4">
      <w:pPr>
        <w:pStyle w:val="ListParagraph"/>
        <w:rPr>
          <w:rFonts w:ascii="Georgia" w:hAnsi="Georgia"/>
          <w:sz w:val="20"/>
          <w:szCs w:val="20"/>
        </w:rPr>
      </w:pPr>
    </w:p>
    <w:p w:rsidR="000F5613" w:rsidRPr="003F2853" w:rsidRDefault="00327CD4" w:rsidP="00554A77">
      <w:pPr>
        <w:pStyle w:val="ListParagraph"/>
        <w:numPr>
          <w:ilvl w:val="0"/>
          <w:numId w:val="1"/>
        </w:numPr>
        <w:spacing w:line="240" w:lineRule="auto"/>
        <w:rPr>
          <w:rFonts w:ascii="Georgia" w:hAnsi="Georgia"/>
          <w:sz w:val="20"/>
          <w:szCs w:val="20"/>
        </w:rPr>
      </w:pPr>
      <w:r w:rsidRPr="00660C2C">
        <w:rPr>
          <w:rFonts w:ascii="Georgia" w:hAnsi="Georgia"/>
          <w:color w:val="000000"/>
          <w:sz w:val="20"/>
          <w:szCs w:val="20"/>
        </w:rPr>
        <w:t xml:space="preserve">The </w:t>
      </w:r>
      <w:r w:rsidRPr="00EF06DA">
        <w:rPr>
          <w:rFonts w:ascii="Georgia" w:hAnsi="Georgia"/>
          <w:color w:val="000000"/>
          <w:sz w:val="20"/>
          <w:szCs w:val="20"/>
          <w:u w:val="single"/>
        </w:rPr>
        <w:t>Comprehensive Child and Family Treatment (CCFT)</w:t>
      </w:r>
      <w:r w:rsidRPr="00660C2C">
        <w:rPr>
          <w:rFonts w:ascii="Georgia" w:hAnsi="Georgia"/>
          <w:color w:val="000000"/>
          <w:sz w:val="20"/>
          <w:szCs w:val="20"/>
        </w:rPr>
        <w:t xml:space="preserve"> program is a high intensity, time-limited service designed to provide stabilization, deter the “</w:t>
      </w:r>
      <w:r w:rsidRPr="00660C2C">
        <w:rPr>
          <w:rFonts w:ascii="Georgia" w:hAnsi="Georgia"/>
          <w:b/>
          <w:i/>
          <w:color w:val="000000"/>
          <w:sz w:val="20"/>
          <w:szCs w:val="20"/>
        </w:rPr>
        <w:t>imminent</w:t>
      </w:r>
      <w:r w:rsidRPr="00660C2C">
        <w:rPr>
          <w:rFonts w:ascii="Georgia" w:hAnsi="Georgia"/>
          <w:color w:val="000000"/>
          <w:sz w:val="20"/>
          <w:szCs w:val="20"/>
        </w:rPr>
        <w:t xml:space="preserve">” risk of state custody for the child, and assist the child in State Custody to maintain his/her status in the current placement and the least restrictive level of care. This includes availability of crisis response services. The primary goal of CCFT is to reach an appropriate point of </w:t>
      </w:r>
      <w:r w:rsidRPr="00660C2C">
        <w:rPr>
          <w:rFonts w:ascii="Georgia" w:hAnsi="Georgia"/>
          <w:i/>
          <w:color w:val="000000"/>
          <w:sz w:val="20"/>
          <w:szCs w:val="20"/>
          <w:u w:val="single"/>
        </w:rPr>
        <w:t>stabilization</w:t>
      </w:r>
      <w:r w:rsidRPr="00660C2C">
        <w:rPr>
          <w:rFonts w:ascii="Georgia" w:hAnsi="Georgia"/>
          <w:color w:val="000000"/>
          <w:sz w:val="20"/>
          <w:szCs w:val="20"/>
        </w:rPr>
        <w:t xml:space="preserve"> so that the member can be transitioned to CTT or other clinically appropriate services. CCFT services are more </w:t>
      </w:r>
      <w:r w:rsidRPr="00660C2C">
        <w:rPr>
          <w:rFonts w:ascii="Georgia" w:hAnsi="Georgia"/>
          <w:i/>
          <w:color w:val="000000"/>
          <w:sz w:val="20"/>
          <w:szCs w:val="20"/>
          <w:u w:val="single"/>
        </w:rPr>
        <w:t>treatment oriented</w:t>
      </w:r>
      <w:r w:rsidRPr="00660C2C">
        <w:rPr>
          <w:rFonts w:ascii="Georgia" w:hAnsi="Georgia"/>
          <w:color w:val="000000"/>
          <w:sz w:val="20"/>
          <w:szCs w:val="20"/>
        </w:rPr>
        <w:t xml:space="preserve"> and </w:t>
      </w:r>
      <w:r w:rsidRPr="00660C2C">
        <w:rPr>
          <w:rFonts w:ascii="Georgia" w:hAnsi="Georgia"/>
          <w:i/>
          <w:color w:val="000000"/>
          <w:sz w:val="20"/>
          <w:szCs w:val="20"/>
          <w:u w:val="single"/>
        </w:rPr>
        <w:t>situation specific</w:t>
      </w:r>
      <w:r w:rsidRPr="00660C2C">
        <w:rPr>
          <w:rFonts w:ascii="Georgia" w:hAnsi="Georgia"/>
          <w:color w:val="000000"/>
          <w:sz w:val="20"/>
          <w:szCs w:val="20"/>
        </w:rPr>
        <w:t xml:space="preserve">. They focus primarily on </w:t>
      </w:r>
      <w:r w:rsidRPr="00660C2C">
        <w:rPr>
          <w:rFonts w:ascii="Georgia" w:hAnsi="Georgia"/>
          <w:i/>
          <w:color w:val="000000"/>
          <w:sz w:val="20"/>
          <w:szCs w:val="20"/>
          <w:u w:val="single"/>
        </w:rPr>
        <w:t>short-term</w:t>
      </w:r>
      <w:r w:rsidRPr="00660C2C">
        <w:rPr>
          <w:rFonts w:ascii="Georgia" w:hAnsi="Georgia"/>
          <w:color w:val="000000"/>
          <w:sz w:val="20"/>
          <w:szCs w:val="20"/>
        </w:rPr>
        <w:t xml:space="preserve"> stabilization goals with the intent to transferring the child/adolescent to services that will provide long-term stability</w:t>
      </w:r>
      <w:r w:rsidR="002C263B">
        <w:rPr>
          <w:rFonts w:ascii="Georgia" w:hAnsi="Georgia"/>
          <w:color w:val="000000"/>
          <w:sz w:val="20"/>
          <w:szCs w:val="20"/>
        </w:rPr>
        <w:t>.</w:t>
      </w:r>
    </w:p>
    <w:p w:rsidR="000F5613" w:rsidRDefault="000F5613" w:rsidP="002F538D">
      <w:pPr>
        <w:jc w:val="center"/>
        <w:rPr>
          <w:rFonts w:ascii="Georgia" w:hAnsi="Georgia"/>
          <w:b/>
          <w:sz w:val="20"/>
          <w:szCs w:val="20"/>
        </w:rPr>
      </w:pPr>
      <w:r w:rsidRPr="00660C2C">
        <w:rPr>
          <w:rFonts w:ascii="Georgia" w:hAnsi="Georgia"/>
          <w:b/>
          <w:sz w:val="20"/>
          <w:szCs w:val="20"/>
        </w:rPr>
        <w:t xml:space="preserve">Referral </w:t>
      </w:r>
      <w:r w:rsidR="00BD4C2C" w:rsidRPr="00660C2C">
        <w:rPr>
          <w:rFonts w:ascii="Georgia" w:hAnsi="Georgia"/>
          <w:b/>
          <w:sz w:val="20"/>
          <w:szCs w:val="20"/>
        </w:rPr>
        <w:t>Process:</w:t>
      </w:r>
    </w:p>
    <w:p w:rsidR="002F538D" w:rsidRPr="002F538D" w:rsidRDefault="002F538D" w:rsidP="002F538D">
      <w:pPr>
        <w:spacing w:after="0" w:line="240" w:lineRule="auto"/>
        <w:jc w:val="center"/>
        <w:rPr>
          <w:rFonts w:ascii="Georgia" w:hAnsi="Georgia"/>
          <w:sz w:val="20"/>
          <w:szCs w:val="20"/>
        </w:rPr>
      </w:pPr>
      <w:r w:rsidRPr="002F538D">
        <w:rPr>
          <w:rFonts w:ascii="Georgia" w:hAnsi="Georgia"/>
          <w:sz w:val="20"/>
          <w:szCs w:val="20"/>
        </w:rPr>
        <w:t>Family Walk in Center is located at:</w:t>
      </w:r>
    </w:p>
    <w:p w:rsidR="002F538D" w:rsidRDefault="002F538D" w:rsidP="002F538D">
      <w:pPr>
        <w:spacing w:after="0" w:line="240" w:lineRule="auto"/>
        <w:jc w:val="center"/>
        <w:rPr>
          <w:rFonts w:ascii="Georgia" w:hAnsi="Georgia"/>
          <w:b/>
          <w:sz w:val="20"/>
          <w:szCs w:val="20"/>
        </w:rPr>
      </w:pPr>
      <w:r>
        <w:rPr>
          <w:rFonts w:ascii="Georgia" w:hAnsi="Georgia"/>
          <w:b/>
          <w:sz w:val="20"/>
          <w:szCs w:val="20"/>
        </w:rPr>
        <w:t>5645 Merchants Center Blvd. Knoxville, TN 37912</w:t>
      </w:r>
      <w:r w:rsidR="00A27673">
        <w:rPr>
          <w:rFonts w:ascii="Georgia" w:hAnsi="Georgia"/>
          <w:b/>
          <w:sz w:val="20"/>
          <w:szCs w:val="20"/>
        </w:rPr>
        <w:t xml:space="preserve"> (far left door)</w:t>
      </w:r>
      <w:bookmarkStart w:id="0" w:name="_GoBack"/>
      <w:bookmarkEnd w:id="0"/>
    </w:p>
    <w:p w:rsidR="004C66F0" w:rsidRPr="004C66F0" w:rsidRDefault="004C66F0" w:rsidP="002F538D">
      <w:pPr>
        <w:spacing w:after="0" w:line="240" w:lineRule="auto"/>
        <w:jc w:val="center"/>
        <w:rPr>
          <w:rFonts w:ascii="Georgia" w:hAnsi="Georgia"/>
          <w:i/>
          <w:sz w:val="20"/>
          <w:szCs w:val="20"/>
        </w:rPr>
      </w:pPr>
    </w:p>
    <w:p w:rsidR="004C66F0" w:rsidRDefault="004C66F0" w:rsidP="002F538D">
      <w:pPr>
        <w:spacing w:after="0" w:line="240" w:lineRule="auto"/>
        <w:jc w:val="center"/>
        <w:rPr>
          <w:rFonts w:ascii="Georgia" w:hAnsi="Georgia"/>
          <w:i/>
          <w:sz w:val="20"/>
          <w:szCs w:val="20"/>
        </w:rPr>
      </w:pPr>
      <w:r w:rsidRPr="004C66F0">
        <w:rPr>
          <w:rFonts w:ascii="Georgia" w:hAnsi="Georgia"/>
          <w:i/>
          <w:sz w:val="20"/>
          <w:szCs w:val="20"/>
        </w:rPr>
        <w:t>*Families/Clients may walk in between 8am-8pm daily to be assessed for appropriate services.</w:t>
      </w:r>
    </w:p>
    <w:p w:rsidR="004C66F0" w:rsidRPr="004C66F0" w:rsidRDefault="004C66F0" w:rsidP="002F538D">
      <w:pPr>
        <w:spacing w:after="0" w:line="240" w:lineRule="auto"/>
        <w:jc w:val="center"/>
        <w:rPr>
          <w:rFonts w:ascii="Georgia" w:hAnsi="Georgia"/>
          <w:i/>
          <w:sz w:val="20"/>
          <w:szCs w:val="20"/>
        </w:rPr>
      </w:pPr>
    </w:p>
    <w:p w:rsidR="002F538D" w:rsidRPr="00660C2C" w:rsidRDefault="002F538D" w:rsidP="002F538D">
      <w:pPr>
        <w:spacing w:after="0" w:line="240" w:lineRule="auto"/>
        <w:jc w:val="center"/>
        <w:rPr>
          <w:rFonts w:ascii="Georgia" w:hAnsi="Georgia"/>
          <w:b/>
          <w:sz w:val="20"/>
          <w:szCs w:val="20"/>
        </w:rPr>
      </w:pPr>
    </w:p>
    <w:p w:rsidR="000F5613" w:rsidRPr="00660C2C" w:rsidRDefault="007B46C1" w:rsidP="00554A77">
      <w:pPr>
        <w:rPr>
          <w:rFonts w:ascii="Georgia" w:hAnsi="Georgia"/>
          <w:i/>
          <w:sz w:val="20"/>
          <w:szCs w:val="20"/>
        </w:rPr>
      </w:pPr>
      <w:r w:rsidRPr="00660C2C">
        <w:rPr>
          <w:rFonts w:ascii="Georgia" w:hAnsi="Georgia"/>
          <w:i/>
          <w:sz w:val="20"/>
          <w:szCs w:val="20"/>
        </w:rPr>
        <w:t xml:space="preserve">*If a child or youth is experiencing mental health symptoms that may be best supported by inpatient treatment, MCU will follow their normal workflow for assessment and determination of the best level of care. </w:t>
      </w:r>
    </w:p>
    <w:p w:rsidR="000F5613" w:rsidRDefault="000F5613" w:rsidP="000F5613">
      <w:pPr>
        <w:jc w:val="center"/>
        <w:rPr>
          <w:rFonts w:ascii="Georgia" w:hAnsi="Georgia"/>
          <w:sz w:val="20"/>
          <w:szCs w:val="20"/>
        </w:rPr>
      </w:pPr>
      <w:r w:rsidRPr="00660C2C">
        <w:rPr>
          <w:rFonts w:ascii="Georgia" w:hAnsi="Georgia"/>
          <w:sz w:val="20"/>
          <w:szCs w:val="20"/>
        </w:rPr>
        <w:t xml:space="preserve">Additional questions can be sent to </w:t>
      </w:r>
      <w:hyperlink r:id="rId5" w:history="1">
        <w:r w:rsidRPr="00660C2C">
          <w:rPr>
            <w:rStyle w:val="Hyperlink"/>
            <w:rFonts w:ascii="Georgia" w:hAnsi="Georgia"/>
            <w:sz w:val="20"/>
            <w:szCs w:val="20"/>
          </w:rPr>
          <w:t>brett.cassidy@mcnabb.org</w:t>
        </w:r>
      </w:hyperlink>
      <w:r w:rsidRPr="00660C2C">
        <w:rPr>
          <w:rFonts w:ascii="Georgia" w:hAnsi="Georgia"/>
          <w:sz w:val="20"/>
          <w:szCs w:val="20"/>
        </w:rPr>
        <w:t xml:space="preserve"> or </w:t>
      </w:r>
      <w:hyperlink r:id="rId6" w:history="1">
        <w:r w:rsidRPr="00660C2C">
          <w:rPr>
            <w:rStyle w:val="Hyperlink"/>
            <w:rFonts w:ascii="Georgia" w:hAnsi="Georgia"/>
            <w:sz w:val="20"/>
            <w:szCs w:val="20"/>
          </w:rPr>
          <w:t>lindsay.stone@mcnabb.org</w:t>
        </w:r>
      </w:hyperlink>
      <w:r w:rsidRPr="00660C2C">
        <w:rPr>
          <w:rFonts w:ascii="Georgia" w:hAnsi="Georgia"/>
          <w:sz w:val="20"/>
          <w:szCs w:val="20"/>
        </w:rPr>
        <w:t xml:space="preserve"> </w:t>
      </w:r>
    </w:p>
    <w:p w:rsidR="00E062A9" w:rsidRPr="00660C2C" w:rsidRDefault="00E062A9" w:rsidP="000F5613">
      <w:pPr>
        <w:jc w:val="center"/>
        <w:rPr>
          <w:rFonts w:ascii="Georgia" w:hAnsi="Georgia"/>
          <w:sz w:val="20"/>
          <w:szCs w:val="20"/>
        </w:rPr>
      </w:pPr>
      <w:r>
        <w:rPr>
          <w:noProof/>
          <w:color w:val="595959"/>
          <w:sz w:val="2"/>
          <w:szCs w:val="2"/>
        </w:rPr>
        <w:drawing>
          <wp:inline distT="0" distB="0" distL="0" distR="0">
            <wp:extent cx="1122798" cy="1005840"/>
            <wp:effectExtent l="0" t="0" r="1270" b="3810"/>
            <wp:docPr id="1" name="Picture 1" descr="cid:image001.png@01D7CCBF.D52B3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1.png@01D7CCBF.D52B3F0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122798" cy="1005840"/>
                    </a:xfrm>
                    <a:prstGeom prst="rect">
                      <a:avLst/>
                    </a:prstGeom>
                    <a:noFill/>
                    <a:ln>
                      <a:noFill/>
                    </a:ln>
                  </pic:spPr>
                </pic:pic>
              </a:graphicData>
            </a:graphic>
          </wp:inline>
        </w:drawing>
      </w:r>
    </w:p>
    <w:sectPr w:rsidR="00E062A9" w:rsidRPr="00660C2C" w:rsidSect="00E062A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01236A"/>
    <w:multiLevelType w:val="hybridMultilevel"/>
    <w:tmpl w:val="A6102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A77"/>
    <w:rsid w:val="0002321E"/>
    <w:rsid w:val="000F5613"/>
    <w:rsid w:val="00112EF9"/>
    <w:rsid w:val="00170BFD"/>
    <w:rsid w:val="00193119"/>
    <w:rsid w:val="002C263B"/>
    <w:rsid w:val="002F538D"/>
    <w:rsid w:val="00327CD4"/>
    <w:rsid w:val="00350361"/>
    <w:rsid w:val="003F2853"/>
    <w:rsid w:val="004C66F0"/>
    <w:rsid w:val="00554A77"/>
    <w:rsid w:val="005C71FD"/>
    <w:rsid w:val="00660C2C"/>
    <w:rsid w:val="007B46C1"/>
    <w:rsid w:val="00A27673"/>
    <w:rsid w:val="00BD4C2C"/>
    <w:rsid w:val="00C3668A"/>
    <w:rsid w:val="00E062A9"/>
    <w:rsid w:val="00EE6D6F"/>
    <w:rsid w:val="00EF0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BEF87"/>
  <w15:chartTrackingRefBased/>
  <w15:docId w15:val="{D7E2738D-8FB0-4BE0-A8CE-41A3944E5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5613"/>
    <w:rPr>
      <w:color w:val="0563C1" w:themeColor="hyperlink"/>
      <w:u w:val="single"/>
    </w:rPr>
  </w:style>
  <w:style w:type="paragraph" w:styleId="ListParagraph">
    <w:name w:val="List Paragraph"/>
    <w:basedOn w:val="Normal"/>
    <w:uiPriority w:val="34"/>
    <w:qFormat/>
    <w:rsid w:val="00327C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7CCBF.D52B3F0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ndsay.stone@mcnabb.org" TargetMode="External"/><Relationship Id="rId5" Type="http://schemas.openxmlformats.org/officeDocument/2006/relationships/hyperlink" Target="mailto:brett.cassidy@mcnabb.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HRMC</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Stone</dc:creator>
  <cp:keywords/>
  <dc:description/>
  <cp:lastModifiedBy>Lindsay Stone</cp:lastModifiedBy>
  <cp:revision>10</cp:revision>
  <dcterms:created xsi:type="dcterms:W3CDTF">2021-10-29T15:42:00Z</dcterms:created>
  <dcterms:modified xsi:type="dcterms:W3CDTF">2021-10-29T16:37:00Z</dcterms:modified>
</cp:coreProperties>
</file>